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022736.xml.htm"/>
      <w:bookmarkStart w:id="1" w:name="kswkform3_178302273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Hortenstine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SABRE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3150 SABRE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SOUTHLAKE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76092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Sabre Corp</w:t>
              </w:r>
            </w:hyperlink>
            <w:r>
              <w:rPr/>
              <w:t xml:space="preserve"> [ </w:t>
            </w:r>
            <w:r>
              <w:rPr>
                <w:rFonts w:ascii="Times;serif" w:hAnsi="Times;serif"/>
                <w:color w:val="0000FF"/>
                <w:sz w:val="24"/>
                <w:shd w:fill="FFFFFF" w:val="clear"/>
              </w:rPr>
              <w:t>SABR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124,366</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Includes a grant of restricted stock units awards on May 15, 2024 of which 12,619 will vest on May 15, 2027. B. Includes a grant of restricted stock units awards on May 15, 2025 of which 11,429 will vest on May 15, 2027 and 11,429 will vest on May 15, 2028. C. Includes a grant of 88,889 restricted stock units awards on May 15, 2026 of which 44,444 will vest on May 15, 2027 and 44,445 will vest on May 15, 2028. Vesting of the three awards is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Milton, as attorney-in-fact for Scott Hortenstine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scotthortenstine.htm"/>
      <w:bookmarkStart w:id="3" w:name="kspoascotthortenstin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4221" TargetMode="External"/><Relationship Id="rId3" Type="http://schemas.openxmlformats.org/officeDocument/2006/relationships/hyperlink" Target="http://www.sec.gov/cgi-bin/browse-edgar?action=getcompany&amp;CIK=000159703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492</Words>
  <Characters>2626</Characters>
  <CharactersWithSpaces>3080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poascotthortenstine</dc:title>
</cp:coreProperties>
</file>